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rFonts w:ascii="Arial" w:cs="Arial" w:eastAsia="Arial" w:hAnsi="Arial"/>
          <w:b/>
          <w:bCs/>
          <w:color w:val="007278"/>
          <w:spacing w:val="40"/>
          <w:sz w:val="22"/>
          <w:szCs w:val="22"/>
        </w:rPr>
        <w:t xml:space="preserve">REQUEST FOR PROPOSAL</w:t>
      </w:r>
    </w:p>
    <w:p>
      <w:pPr>
        <w:pBdr>
          <w:bottom w:val="single" w:color="008D93" w:sz="12" w:space="12"/>
        </w:pBdr>
        <w:spacing w:after="300"/>
      </w:pPr>
      <w:r>
        <w:rPr>
          <w:rFonts w:ascii="Arial" w:cs="Arial" w:eastAsia="Arial" w:hAnsi="Arial"/>
          <w:b/>
          <w:bCs/>
          <w:color w:val="2E3333"/>
          <w:sz w:val="52"/>
          <w:szCs w:val="52"/>
        </w:rPr>
        <w:t xml:space="preserve">Association Management Services</w:t>
      </w:r>
    </w:p>
    <w:p>
      <w:pPr>
        <w:spacing w:after="120"/>
      </w:pPr>
      <w:r>
        <w:rPr>
          <w:rFonts w:ascii="Arial" w:cs="Arial" w:eastAsia="Arial" w:hAnsi="Arial"/>
          <w:color w:val="2E3333"/>
          <w:sz w:val="28"/>
          <w:szCs w:val="28"/>
        </w:rPr>
        <w:t xml:space="preserve">[Association Name]</w:t>
      </w:r>
    </w:p>
    <w:p>
      <w:pPr>
        <w:spacing w:after="60"/>
      </w:pPr>
      <w:r>
        <w:rPr>
          <w:rFonts w:ascii="Arial" w:cs="Arial" w:eastAsia="Arial" w:hAnsi="Arial"/>
          <w:color w:val="666B6B"/>
          <w:sz w:val="22"/>
          <w:szCs w:val="22"/>
        </w:rPr>
        <w:t xml:space="preserve">Issued: [Date]</w:t>
      </w:r>
    </w:p>
    <w:p>
      <w:pPr>
        <w:spacing w:after="60"/>
      </w:pPr>
      <w:r>
        <w:rPr>
          <w:rFonts w:ascii="Arial" w:cs="Arial" w:eastAsia="Arial" w:hAnsi="Arial"/>
          <w:color w:val="666B6B"/>
          <w:sz w:val="22"/>
          <w:szCs w:val="22"/>
        </w:rPr>
        <w:t xml:space="preserve">Proposals due: [Date and time, time zone]</w:t>
      </w:r>
    </w:p>
    <w:p>
      <w:pPr>
        <w:spacing w:after="60"/>
      </w:pPr>
      <w:r>
        <w:rPr>
          <w:rFonts w:ascii="Arial" w:cs="Arial" w:eastAsia="Arial" w:hAnsi="Arial"/>
          <w:color w:val="666B6B"/>
          <w:sz w:val="22"/>
          <w:szCs w:val="22"/>
        </w:rPr>
        <w:t xml:space="preserve">RFP contact: [Name, title, email]</w:t>
      </w:r>
    </w:p>
    <w:p>
      <w:pPr>
        <w:spacing w:before="1800"/>
      </w:pPr>
      <w:r>
        <w:rPr>
          <w:rFonts w:ascii="Arial" w:cs="Arial" w:eastAsia="Arial" w:hAnsi="Arial"/>
          <w:i/>
          <w:iCs/>
          <w:color w:val="666B6B"/>
          <w:sz w:val="18"/>
          <w:szCs w:val="18"/>
        </w:rPr>
        <w:t xml:space="preserve">How to use this template: replace every bracketed item, delete sections that do not apply, and keep the pricing format and evaluation criteria so proposals can be compared side by side. Template provided by Association Core (associationcore.com). You may adapt and reuse it freely.</w:t>
      </w:r>
    </w:p>
    <w:p>
      <w:r>
        <w:br w:type="page"/>
      </w:r>
    </w:p>
    <w:p>
      <w:pPr>
        <w:pStyle w:val="Heading1"/>
        <w:spacing w:after="160" w:before="360"/>
      </w:pPr>
      <w:r>
        <w:rPr>
          <w:rFonts w:ascii="Arial" w:cs="Arial" w:eastAsia="Arial" w:hAnsi="Arial"/>
          <w:b/>
          <w:bCs/>
          <w:color w:val="2E3333"/>
          <w:sz w:val="30"/>
          <w:szCs w:val="30"/>
        </w:rPr>
        <w:t xml:space="preserve">1. Introduction and Purpose</w:t>
      </w:r>
    </w:p>
    <w:p>
      <w:pPr>
        <w:spacing w:after="120"/>
      </w:pPr>
      <w:r>
        <w:rPr>
          <w:rFonts w:ascii="Arial" w:cs="Arial" w:eastAsia="Arial" w:hAnsi="Arial"/>
          <w:color w:val="2E3333"/>
          <w:sz w:val="21"/>
          <w:szCs w:val="21"/>
        </w:rPr>
        <w:t xml:space="preserve">[Association Name] (the "Association") invites qualified association management companies (AMCs) to submit proposals for [full-service association management / the following defined services]. The Association seeks a management partner that will [two or three outcomes the board wants, such as stabilizing operations, growing membership, and modernizing technology].</w:t>
      </w:r>
    </w:p>
    <w:p>
      <w:pPr>
        <w:spacing w:after="120"/>
      </w:pPr>
      <w:r>
        <w:rPr>
          <w:rFonts w:ascii="Arial" w:cs="Arial" w:eastAsia="Arial" w:hAnsi="Arial"/>
          <w:color w:val="2E3333"/>
          <w:sz w:val="21"/>
          <w:szCs w:val="21"/>
        </w:rPr>
        <w:t xml:space="preserve">The selected firm will report to the Board of Directors through the [Board Chair / Executive Committee]. The anticipated start of the transition is [date].</w:t>
      </w:r>
    </w:p>
    <w:p>
      <w:pPr>
        <w:pStyle w:val="Heading1"/>
        <w:spacing w:after="160" w:before="360"/>
      </w:pPr>
      <w:r>
        <w:rPr>
          <w:rFonts w:ascii="Arial" w:cs="Arial" w:eastAsia="Arial" w:hAnsi="Arial"/>
          <w:b/>
          <w:bCs/>
          <w:color w:val="2E3333"/>
          <w:sz w:val="30"/>
          <w:szCs w:val="30"/>
        </w:rPr>
        <w:t xml:space="preserve">2. Timeline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rPr>
          <w:tblHeader/>
        </w:trPr>
        <w:tc>
          <w:tcPr>
            <w:tcW w:type="dxa" w:w="6360"/>
            <w:tcBorders>
              <w:top w:val="single" w:color="CDD5D5" w:sz="4"/>
              <w:left w:val="single" w:color="CDD5D5" w:sz="4"/>
              <w:bottom w:val="single" w:color="CDD5D5" w:sz="4"/>
              <w:right w:val="single" w:color="CDD5D5" w:sz="4"/>
            </w:tcBorders>
            <w:shd w:fill="2E3333" w:color="auto" w:val="clear"/>
            <w:tcMar>
              <w:top w:type="dxa" w:w="80"/>
              <w:left w:type="dxa" w:w="120"/>
              <w:bottom w:type="dxa" w:w="80"/>
              <w:right w:type="dxa" w:w="120"/>
            </w:tcMar>
          </w:tcPr>
          <w:p>
            <w:r>
              <w:rPr>
                <w:rFonts w:ascii="Arial" w:cs="Arial" w:eastAsia="Arial" w:hAnsi="Arial"/>
                <w:b/>
                <w:bCs/>
                <w:color w:val="FFFFFF"/>
                <w:sz w:val="18"/>
                <w:szCs w:val="18"/>
              </w:rPr>
              <w:t xml:space="preserve">Milestone</w:t>
            </w:r>
          </w:p>
        </w:tc>
        <w:tc>
          <w:tcPr>
            <w:tcW w:type="dxa" w:w="3000"/>
            <w:tcBorders>
              <w:top w:val="single" w:color="CDD5D5" w:sz="4"/>
              <w:left w:val="single" w:color="CDD5D5" w:sz="4"/>
              <w:bottom w:val="single" w:color="CDD5D5" w:sz="4"/>
              <w:right w:val="single" w:color="CDD5D5" w:sz="4"/>
            </w:tcBorders>
            <w:shd w:fill="2E3333" w:color="auto" w:val="clear"/>
            <w:tcMar>
              <w:top w:type="dxa" w:w="80"/>
              <w:left w:type="dxa" w:w="120"/>
              <w:bottom w:type="dxa" w:w="80"/>
              <w:right w:type="dxa" w:w="120"/>
            </w:tcMar>
          </w:tcPr>
          <w:p>
            <w:r>
              <w:rPr>
                <w:rFonts w:ascii="Arial" w:cs="Arial" w:eastAsia="Arial" w:hAnsi="Arial"/>
                <w:b/>
                <w:bCs/>
                <w:color w:val="FFFFFF"/>
                <w:sz w:val="18"/>
                <w:szCs w:val="18"/>
              </w:rPr>
              <w:t xml:space="preserve">Date</w:t>
            </w:r>
          </w:p>
        </w:tc>
      </w:tr>
      <w:tr>
        <w:tc>
          <w:tcPr>
            <w:tcW w:type="dxa" w:w="6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RFP issued</w:t>
            </w:r>
          </w:p>
        </w:tc>
        <w:tc>
          <w:tcPr>
            <w:tcW w:type="dxa" w:w="3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[Date]</w:t>
            </w:r>
          </w:p>
        </w:tc>
      </w:tr>
      <w:tr>
        <w:tc>
          <w:tcPr>
            <w:tcW w:type="dxa" w:w="6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Intent to respond and written questions due</w:t>
            </w:r>
          </w:p>
        </w:tc>
        <w:tc>
          <w:tcPr>
            <w:tcW w:type="dxa" w:w="3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[Date]</w:t>
            </w:r>
          </w:p>
        </w:tc>
      </w:tr>
      <w:tr>
        <w:tc>
          <w:tcPr>
            <w:tcW w:type="dxa" w:w="6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Answers distributed to all respondents</w:t>
            </w:r>
          </w:p>
        </w:tc>
        <w:tc>
          <w:tcPr>
            <w:tcW w:type="dxa" w:w="3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[Date]</w:t>
            </w:r>
          </w:p>
        </w:tc>
      </w:tr>
      <w:tr>
        <w:tc>
          <w:tcPr>
            <w:tcW w:type="dxa" w:w="6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Proposals due</w:t>
            </w:r>
          </w:p>
        </w:tc>
        <w:tc>
          <w:tcPr>
            <w:tcW w:type="dxa" w:w="3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[Date]</w:t>
            </w:r>
          </w:p>
        </w:tc>
      </w:tr>
      <w:tr>
        <w:tc>
          <w:tcPr>
            <w:tcW w:type="dxa" w:w="6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Finalist interviews</w:t>
            </w:r>
          </w:p>
        </w:tc>
        <w:tc>
          <w:tcPr>
            <w:tcW w:type="dxa" w:w="3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[Date range]</w:t>
            </w:r>
          </w:p>
        </w:tc>
      </w:tr>
      <w:tr>
        <w:tc>
          <w:tcPr>
            <w:tcW w:type="dxa" w:w="6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Reference checks completed</w:t>
            </w:r>
          </w:p>
        </w:tc>
        <w:tc>
          <w:tcPr>
            <w:tcW w:type="dxa" w:w="3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[Date]</w:t>
            </w:r>
          </w:p>
        </w:tc>
      </w:tr>
      <w:tr>
        <w:tc>
          <w:tcPr>
            <w:tcW w:type="dxa" w:w="6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Board decision</w:t>
            </w:r>
          </w:p>
        </w:tc>
        <w:tc>
          <w:tcPr>
            <w:tcW w:type="dxa" w:w="3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[Date]</w:t>
            </w:r>
          </w:p>
        </w:tc>
      </w:tr>
      <w:tr>
        <w:tc>
          <w:tcPr>
            <w:tcW w:type="dxa" w:w="6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Notice to current provider (if applicable)</w:t>
            </w:r>
          </w:p>
        </w:tc>
        <w:tc>
          <w:tcPr>
            <w:tcW w:type="dxa" w:w="3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[Date]</w:t>
            </w:r>
          </w:p>
        </w:tc>
      </w:tr>
      <w:tr>
        <w:tc>
          <w:tcPr>
            <w:tcW w:type="dxa" w:w="6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Transition begins</w:t>
            </w:r>
          </w:p>
        </w:tc>
        <w:tc>
          <w:tcPr>
            <w:tcW w:type="dxa" w:w="3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[Date]</w:t>
            </w:r>
          </w:p>
        </w:tc>
      </w:tr>
      <w:tr>
        <w:tc>
          <w:tcPr>
            <w:tcW w:type="dxa" w:w="6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Transition complete (90 days)</w:t>
            </w:r>
          </w:p>
        </w:tc>
        <w:tc>
          <w:tcPr>
            <w:tcW w:type="dxa" w:w="3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[Date]</w:t>
            </w:r>
          </w:p>
        </w:tc>
      </w:tr>
    </w:tbl>
    <w:p>
      <w:pPr>
        <w:pStyle w:val="Heading1"/>
        <w:spacing w:after="160" w:before="360"/>
      </w:pPr>
      <w:r>
        <w:rPr>
          <w:rFonts w:ascii="Arial" w:cs="Arial" w:eastAsia="Arial" w:hAnsi="Arial"/>
          <w:b/>
          <w:bCs/>
          <w:color w:val="2E3333"/>
          <w:sz w:val="30"/>
          <w:szCs w:val="30"/>
        </w:rPr>
        <w:t xml:space="preserve">3. Organization Background</w:t>
      </w:r>
    </w:p>
    <w:p>
      <w:pPr>
        <w:pStyle w:val="Heading2"/>
        <w:spacing w:after="100" w:before="240"/>
      </w:pPr>
      <w:r>
        <w:rPr>
          <w:rFonts w:ascii="Arial" w:cs="Arial" w:eastAsia="Arial" w:hAnsi="Arial"/>
          <w:b/>
          <w:bCs/>
          <w:color w:val="007278"/>
          <w:sz w:val="24"/>
          <w:szCs w:val="24"/>
        </w:rPr>
        <w:t xml:space="preserve">3.1 Mission and structure</w:t>
      </w:r>
    </w:p>
    <w:p>
      <w:pPr>
        <w:spacing w:after="120"/>
      </w:pPr>
      <w:r>
        <w:rPr>
          <w:rFonts w:ascii="Arial" w:cs="Arial" w:eastAsia="Arial" w:hAnsi="Arial"/>
          <w:i/>
          <w:iCs/>
          <w:color w:val="666B6B"/>
          <w:sz w:val="21"/>
          <w:szCs w:val="21"/>
        </w:rPr>
        <w:t xml:space="preserve">[Mission statement. Year founded. Tax status, such as 501(c)(6) or 501(c)(3). Geographic scope.]</w:t>
      </w:r>
    </w:p>
    <w:p>
      <w:pPr>
        <w:pStyle w:val="Heading2"/>
        <w:spacing w:after="100" w:before="240"/>
      </w:pPr>
      <w:r>
        <w:rPr>
          <w:rFonts w:ascii="Arial" w:cs="Arial" w:eastAsia="Arial" w:hAnsi="Arial"/>
          <w:b/>
          <w:bCs/>
          <w:color w:val="007278"/>
          <w:sz w:val="24"/>
          <w:szCs w:val="24"/>
        </w:rPr>
        <w:t xml:space="preserve">3.2 Membership</w:t>
      </w:r>
    </w:p>
    <w:p>
      <w:pPr>
        <w:spacing w:after="120"/>
      </w:pPr>
      <w:r>
        <w:rPr>
          <w:rFonts w:ascii="Arial" w:cs="Arial" w:eastAsia="Arial" w:hAnsi="Arial"/>
          <w:i/>
          <w:iCs/>
          <w:color w:val="666B6B"/>
          <w:sz w:val="21"/>
          <w:szCs w:val="21"/>
        </w:rPr>
        <w:t xml:space="preserve">[Number of members by category, dues structure, renewal rate for the last three years, and growth goals.]</w:t>
      </w:r>
    </w:p>
    <w:p>
      <w:pPr>
        <w:pStyle w:val="Heading2"/>
        <w:spacing w:after="100" w:before="240"/>
      </w:pPr>
      <w:r>
        <w:rPr>
          <w:rFonts w:ascii="Arial" w:cs="Arial" w:eastAsia="Arial" w:hAnsi="Arial"/>
          <w:b/>
          <w:bCs/>
          <w:color w:val="007278"/>
          <w:sz w:val="24"/>
          <w:szCs w:val="24"/>
        </w:rPr>
        <w:t xml:space="preserve">3.3 Finances</w:t>
      </w:r>
    </w:p>
    <w:p>
      <w:pPr>
        <w:spacing w:after="120"/>
      </w:pPr>
      <w:r>
        <w:rPr>
          <w:rFonts w:ascii="Arial" w:cs="Arial" w:eastAsia="Arial" w:hAnsi="Arial"/>
          <w:color w:val="2E3333"/>
          <w:sz w:val="21"/>
          <w:szCs w:val="21"/>
        </w:rPr>
        <w:t xml:space="preserve">Annual operating budget: [$ amount]. Reserves: [$ amount]. Revenue mix for the most recent fiscal year: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60"/>
        <w:gridCol w:w="2400"/>
        <w:gridCol w:w="2400"/>
      </w:tblGrid>
      <w:tr>
        <w:trPr>
          <w:tblHeader/>
        </w:trPr>
        <w:tc>
          <w:tcPr>
            <w:tcW w:type="dxa" w:w="4560"/>
            <w:tcBorders>
              <w:top w:val="single" w:color="CDD5D5" w:sz="4"/>
              <w:left w:val="single" w:color="CDD5D5" w:sz="4"/>
              <w:bottom w:val="single" w:color="CDD5D5" w:sz="4"/>
              <w:right w:val="single" w:color="CDD5D5" w:sz="4"/>
            </w:tcBorders>
            <w:shd w:fill="2E3333" w:color="auto" w:val="clear"/>
            <w:tcMar>
              <w:top w:type="dxa" w:w="80"/>
              <w:left w:type="dxa" w:w="120"/>
              <w:bottom w:type="dxa" w:w="80"/>
              <w:right w:type="dxa" w:w="120"/>
            </w:tcMar>
          </w:tcPr>
          <w:p>
            <w:r>
              <w:rPr>
                <w:rFonts w:ascii="Arial" w:cs="Arial" w:eastAsia="Arial" w:hAnsi="Arial"/>
                <w:b/>
                <w:bCs/>
                <w:color w:val="FFFFFF"/>
                <w:sz w:val="18"/>
                <w:szCs w:val="18"/>
              </w:rPr>
              <w:t xml:space="preserve">Revenue source</w:t>
            </w:r>
          </w:p>
        </w:tc>
        <w:tc>
          <w:tcPr>
            <w:tcW w:type="dxa" w:w="2400"/>
            <w:tcBorders>
              <w:top w:val="single" w:color="CDD5D5" w:sz="4"/>
              <w:left w:val="single" w:color="CDD5D5" w:sz="4"/>
              <w:bottom w:val="single" w:color="CDD5D5" w:sz="4"/>
              <w:right w:val="single" w:color="CDD5D5" w:sz="4"/>
            </w:tcBorders>
            <w:shd w:fill="2E3333" w:color="auto" w:val="clear"/>
            <w:tcMar>
              <w:top w:type="dxa" w:w="80"/>
              <w:left w:type="dxa" w:w="120"/>
              <w:bottom w:type="dxa" w:w="80"/>
              <w:right w:type="dxa" w:w="120"/>
            </w:tcMar>
          </w:tcPr>
          <w:p>
            <w:r>
              <w:rPr>
                <w:rFonts w:ascii="Arial" w:cs="Arial" w:eastAsia="Arial" w:hAnsi="Arial"/>
                <w:b/>
                <w:bCs/>
                <w:color w:val="FFFFFF"/>
                <w:sz w:val="18"/>
                <w:szCs w:val="18"/>
              </w:rPr>
              <w:t xml:space="preserve">Amount</w:t>
            </w:r>
          </w:p>
        </w:tc>
        <w:tc>
          <w:tcPr>
            <w:tcW w:type="dxa" w:w="2400"/>
            <w:tcBorders>
              <w:top w:val="single" w:color="CDD5D5" w:sz="4"/>
              <w:left w:val="single" w:color="CDD5D5" w:sz="4"/>
              <w:bottom w:val="single" w:color="CDD5D5" w:sz="4"/>
              <w:right w:val="single" w:color="CDD5D5" w:sz="4"/>
            </w:tcBorders>
            <w:shd w:fill="2E3333" w:color="auto" w:val="clear"/>
            <w:tcMar>
              <w:top w:type="dxa" w:w="80"/>
              <w:left w:type="dxa" w:w="120"/>
              <w:bottom w:type="dxa" w:w="80"/>
              <w:right w:type="dxa" w:w="120"/>
            </w:tcMar>
          </w:tcPr>
          <w:p>
            <w:r>
              <w:rPr>
                <w:rFonts w:ascii="Arial" w:cs="Arial" w:eastAsia="Arial" w:hAnsi="Arial"/>
                <w:b/>
                <w:bCs/>
                <w:color w:val="FFFFFF"/>
                <w:sz w:val="18"/>
                <w:szCs w:val="18"/>
              </w:rPr>
              <w:t xml:space="preserve">Share of revenue</w:t>
            </w:r>
          </w:p>
        </w:tc>
      </w:tr>
      <w:tr>
        <w:tc>
          <w:tcPr>
            <w:tcW w:type="dxa" w:w="45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Membership dues</w:t>
            </w:r>
          </w:p>
        </w:tc>
        <w:tc>
          <w:tcPr>
            <w:tcW w:type="dxa" w:w="24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w:t>
            </w:r>
          </w:p>
        </w:tc>
        <w:tc>
          <w:tcPr>
            <w:tcW w:type="dxa" w:w="24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w:t>
            </w:r>
          </w:p>
        </w:tc>
      </w:tr>
      <w:tr>
        <w:tc>
          <w:tcPr>
            <w:tcW w:type="dxa" w:w="45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Events and meetings</w:t>
            </w:r>
          </w:p>
        </w:tc>
        <w:tc>
          <w:tcPr>
            <w:tcW w:type="dxa" w:w="24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w:t>
            </w:r>
          </w:p>
        </w:tc>
        <w:tc>
          <w:tcPr>
            <w:tcW w:type="dxa" w:w="24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w:t>
            </w:r>
          </w:p>
        </w:tc>
      </w:tr>
      <w:tr>
        <w:tc>
          <w:tcPr>
            <w:tcW w:type="dxa" w:w="45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Sponsorship and advertising</w:t>
            </w:r>
          </w:p>
        </w:tc>
        <w:tc>
          <w:tcPr>
            <w:tcW w:type="dxa" w:w="24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w:t>
            </w:r>
          </w:p>
        </w:tc>
        <w:tc>
          <w:tcPr>
            <w:tcW w:type="dxa" w:w="24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w:t>
            </w:r>
          </w:p>
        </w:tc>
      </w:tr>
      <w:tr>
        <w:tc>
          <w:tcPr>
            <w:tcW w:type="dxa" w:w="45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Education and credentialing</w:t>
            </w:r>
          </w:p>
        </w:tc>
        <w:tc>
          <w:tcPr>
            <w:tcW w:type="dxa" w:w="24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w:t>
            </w:r>
          </w:p>
        </w:tc>
        <w:tc>
          <w:tcPr>
            <w:tcW w:type="dxa" w:w="24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w:t>
            </w:r>
          </w:p>
        </w:tc>
      </w:tr>
      <w:tr>
        <w:tc>
          <w:tcPr>
            <w:tcW w:type="dxa" w:w="45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Other</w:t>
            </w:r>
          </w:p>
        </w:tc>
        <w:tc>
          <w:tcPr>
            <w:tcW w:type="dxa" w:w="24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w:t>
            </w:r>
          </w:p>
        </w:tc>
        <w:tc>
          <w:tcPr>
            <w:tcW w:type="dxa" w:w="24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w:t>
            </w:r>
          </w:p>
        </w:tc>
      </w:tr>
    </w:tbl>
    <w:p>
      <w:pPr>
        <w:pStyle w:val="Heading2"/>
        <w:spacing w:after="100" w:before="240"/>
      </w:pPr>
      <w:r>
        <w:rPr>
          <w:rFonts w:ascii="Arial" w:cs="Arial" w:eastAsia="Arial" w:hAnsi="Arial"/>
          <w:b/>
          <w:bCs/>
          <w:color w:val="007278"/>
          <w:sz w:val="24"/>
          <w:szCs w:val="24"/>
        </w:rPr>
        <w:t xml:space="preserve">3.4 Governance</w:t>
      </w:r>
    </w:p>
    <w:p>
      <w:pPr>
        <w:spacing w:after="120"/>
      </w:pPr>
      <w:r>
        <w:rPr>
          <w:rFonts w:ascii="Arial" w:cs="Arial" w:eastAsia="Arial" w:hAnsi="Arial"/>
          <w:i/>
          <w:iCs/>
          <w:color w:val="666B6B"/>
          <w:sz w:val="21"/>
          <w:szCs w:val="21"/>
        </w:rPr>
        <w:t xml:space="preserve">[Board size, officer roles, committees, number of board meetings per year, and annual meeting format.]</w:t>
      </w:r>
    </w:p>
    <w:p>
      <w:pPr>
        <w:pStyle w:val="Heading2"/>
        <w:spacing w:after="100" w:before="240"/>
      </w:pPr>
      <w:r>
        <w:rPr>
          <w:rFonts w:ascii="Arial" w:cs="Arial" w:eastAsia="Arial" w:hAnsi="Arial"/>
          <w:b/>
          <w:bCs/>
          <w:color w:val="007278"/>
          <w:sz w:val="24"/>
          <w:szCs w:val="24"/>
        </w:rPr>
        <w:t xml:space="preserve">3.5 Current management and staffing</w:t>
      </w:r>
    </w:p>
    <w:p>
      <w:pPr>
        <w:spacing w:after="120"/>
      </w:pPr>
      <w:r>
        <w:rPr>
          <w:rFonts w:ascii="Arial" w:cs="Arial" w:eastAsia="Arial" w:hAnsi="Arial"/>
          <w:i/>
          <w:iCs/>
          <w:color w:val="666B6B"/>
          <w:sz w:val="21"/>
          <w:szCs w:val="21"/>
        </w:rPr>
        <w:t xml:space="preserve">[Volunteer-led, staff, or AMC. If an AMC, the current agreement's end date and notice period.]</w:t>
      </w:r>
    </w:p>
    <w:p>
      <w:pPr>
        <w:pStyle w:val="Heading2"/>
        <w:spacing w:after="100" w:before="240"/>
      </w:pPr>
      <w:r>
        <w:rPr>
          <w:rFonts w:ascii="Arial" w:cs="Arial" w:eastAsia="Arial" w:hAnsi="Arial"/>
          <w:b/>
          <w:bCs/>
          <w:color w:val="007278"/>
          <w:sz w:val="24"/>
          <w:szCs w:val="24"/>
        </w:rPr>
        <w:t xml:space="preserve">3.6 Technology</w:t>
      </w:r>
    </w:p>
    <w:p>
      <w:pPr>
        <w:spacing w:after="120"/>
      </w:pPr>
      <w:r>
        <w:rPr>
          <w:rFonts w:ascii="Arial" w:cs="Arial" w:eastAsia="Arial" w:hAnsi="Arial"/>
          <w:i/>
          <w:iCs/>
          <w:color w:val="666B6B"/>
          <w:sz w:val="21"/>
          <w:szCs w:val="21"/>
        </w:rPr>
        <w:t xml:space="preserve">[AMS, accounting system, email platform, website platform, event registration, LMS, and any integrations.]</w:t>
      </w:r>
    </w:p>
    <w:p>
      <w:pPr>
        <w:pStyle w:val="Heading2"/>
        <w:spacing w:after="100" w:before="240"/>
      </w:pPr>
      <w:r>
        <w:rPr>
          <w:rFonts w:ascii="Arial" w:cs="Arial" w:eastAsia="Arial" w:hAnsi="Arial"/>
          <w:b/>
          <w:bCs/>
          <w:color w:val="007278"/>
          <w:sz w:val="24"/>
          <w:szCs w:val="24"/>
        </w:rPr>
        <w:t xml:space="preserve">3.7 Key commitments</w:t>
      </w:r>
    </w:p>
    <w:p>
      <w:pPr>
        <w:spacing w:after="120"/>
      </w:pPr>
      <w:r>
        <w:rPr>
          <w:rFonts w:ascii="Arial" w:cs="Arial" w:eastAsia="Arial" w:hAnsi="Arial"/>
          <w:i/>
          <w:iCs/>
          <w:color w:val="666B6B"/>
          <w:sz w:val="21"/>
          <w:szCs w:val="21"/>
        </w:rPr>
        <w:t xml:space="preserve">[Multi-year contracts, hotel blocks, sponsorship obligations, grants, or other commitments the firm will inherit.]</w:t>
      </w:r>
    </w:p>
    <w:p>
      <w:pPr>
        <w:pStyle w:val="Heading2"/>
        <w:spacing w:after="100" w:before="240"/>
      </w:pPr>
      <w:r>
        <w:rPr>
          <w:rFonts w:ascii="Arial" w:cs="Arial" w:eastAsia="Arial" w:hAnsi="Arial"/>
          <w:b/>
          <w:bCs/>
          <w:color w:val="007278"/>
          <w:sz w:val="24"/>
          <w:szCs w:val="24"/>
        </w:rPr>
        <w:t xml:space="preserve">3.8 Strategic priorities</w:t>
      </w:r>
    </w:p>
    <w:p>
      <w:pPr>
        <w:spacing w:after="120"/>
      </w:pPr>
      <w:r>
        <w:rPr>
          <w:rFonts w:ascii="Arial" w:cs="Arial" w:eastAsia="Arial" w:hAnsi="Arial"/>
          <w:i/>
          <w:iCs/>
          <w:color w:val="666B6B"/>
          <w:sz w:val="21"/>
          <w:szCs w:val="21"/>
        </w:rPr>
        <w:t xml:space="preserve">[The board's top three priorities for the next three years.]</w:t>
      </w:r>
    </w:p>
    <w:p>
      <w:pPr>
        <w:pStyle w:val="Heading1"/>
        <w:spacing w:after="160" w:before="360"/>
      </w:pPr>
      <w:r>
        <w:rPr>
          <w:rFonts w:ascii="Arial" w:cs="Arial" w:eastAsia="Arial" w:hAnsi="Arial"/>
          <w:b/>
          <w:bCs/>
          <w:color w:val="2E3333"/>
          <w:sz w:val="30"/>
          <w:szCs w:val="30"/>
        </w:rPr>
        <w:t xml:space="preserve">4. Scope of Services</w:t>
      </w:r>
    </w:p>
    <w:p>
      <w:pPr>
        <w:spacing w:after="120"/>
      </w:pPr>
      <w:r>
        <w:rPr>
          <w:rFonts w:ascii="Arial" w:cs="Arial" w:eastAsia="Arial" w:hAnsi="Arial"/>
          <w:color w:val="2E3333"/>
          <w:sz w:val="21"/>
          <w:szCs w:val="21"/>
        </w:rPr>
        <w:t xml:space="preserve">Indicate in your proposal how you would deliver each function. Volumes are for a typical year.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1800"/>
        <w:gridCol w:w="4200"/>
      </w:tblGrid>
      <w:tr>
        <w:trPr>
          <w:tblHeader/>
        </w:trPr>
        <w:tc>
          <w:tcPr>
            <w:tcW w:type="dxa" w:w="3360"/>
            <w:tcBorders>
              <w:top w:val="single" w:color="CDD5D5" w:sz="4"/>
              <w:left w:val="single" w:color="CDD5D5" w:sz="4"/>
              <w:bottom w:val="single" w:color="CDD5D5" w:sz="4"/>
              <w:right w:val="single" w:color="CDD5D5" w:sz="4"/>
            </w:tcBorders>
            <w:shd w:fill="2E3333" w:color="auto" w:val="clear"/>
            <w:tcMar>
              <w:top w:type="dxa" w:w="80"/>
              <w:left w:type="dxa" w:w="120"/>
              <w:bottom w:type="dxa" w:w="80"/>
              <w:right w:type="dxa" w:w="120"/>
            </w:tcMar>
          </w:tcPr>
          <w:p>
            <w:r>
              <w:rPr>
                <w:rFonts w:ascii="Arial" w:cs="Arial" w:eastAsia="Arial" w:hAnsi="Arial"/>
                <w:b/>
                <w:bCs/>
                <w:color w:val="FFFFFF"/>
                <w:sz w:val="18"/>
                <w:szCs w:val="18"/>
              </w:rPr>
              <w:t xml:space="preserve">Function</w:t>
            </w:r>
          </w:p>
        </w:tc>
        <w:tc>
          <w:tcPr>
            <w:tcW w:type="dxa" w:w="1800"/>
            <w:tcBorders>
              <w:top w:val="single" w:color="CDD5D5" w:sz="4"/>
              <w:left w:val="single" w:color="CDD5D5" w:sz="4"/>
              <w:bottom w:val="single" w:color="CDD5D5" w:sz="4"/>
              <w:right w:val="single" w:color="CDD5D5" w:sz="4"/>
            </w:tcBorders>
            <w:shd w:fill="2E3333" w:color="auto" w:val="clear"/>
            <w:tcMar>
              <w:top w:type="dxa" w:w="80"/>
              <w:left w:type="dxa" w:w="120"/>
              <w:bottom w:type="dxa" w:w="80"/>
              <w:right w:type="dxa" w:w="120"/>
            </w:tcMar>
          </w:tcPr>
          <w:p>
            <w:r>
              <w:rPr>
                <w:rFonts w:ascii="Arial" w:cs="Arial" w:eastAsia="Arial" w:hAnsi="Arial"/>
                <w:b/>
                <w:bCs/>
                <w:color w:val="FFFFFF"/>
                <w:sz w:val="18"/>
                <w:szCs w:val="18"/>
              </w:rPr>
              <w:t xml:space="preserve">Required / Optional</w:t>
            </w:r>
          </w:p>
        </w:tc>
        <w:tc>
          <w:tcPr>
            <w:tcW w:type="dxa" w:w="4200"/>
            <w:tcBorders>
              <w:top w:val="single" w:color="CDD5D5" w:sz="4"/>
              <w:left w:val="single" w:color="CDD5D5" w:sz="4"/>
              <w:bottom w:val="single" w:color="CDD5D5" w:sz="4"/>
              <w:right w:val="single" w:color="CDD5D5" w:sz="4"/>
            </w:tcBorders>
            <w:shd w:fill="2E3333" w:color="auto" w:val="clear"/>
            <w:tcMar>
              <w:top w:type="dxa" w:w="80"/>
              <w:left w:type="dxa" w:w="120"/>
              <w:bottom w:type="dxa" w:w="80"/>
              <w:right w:type="dxa" w:w="120"/>
            </w:tcMar>
          </w:tcPr>
          <w:p>
            <w:r>
              <w:rPr>
                <w:rFonts w:ascii="Arial" w:cs="Arial" w:eastAsia="Arial" w:hAnsi="Arial"/>
                <w:b/>
                <w:bCs/>
                <w:color w:val="FFFFFF"/>
                <w:sz w:val="18"/>
                <w:szCs w:val="18"/>
              </w:rPr>
              <w:t xml:space="preserve">Volume and notes</w:t>
            </w:r>
          </w:p>
        </w:tc>
      </w:tr>
      <w:tr>
        <w:tc>
          <w:tcPr>
            <w:tcW w:type="dxa" w:w="3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Executive leadership and governance support</w:t>
            </w:r>
          </w:p>
        </w:tc>
        <w:tc>
          <w:tcPr>
            <w:tcW w:type="dxa" w:w="18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[R / O]</w:t>
            </w:r>
          </w:p>
        </w:tc>
        <w:tc>
          <w:tcPr>
            <w:tcW w:type="dxa" w:w="42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[Board meetings, committees, strategic plan status]</w:t>
            </w:r>
          </w:p>
        </w:tc>
      </w:tr>
      <w:tr>
        <w:tc>
          <w:tcPr>
            <w:tcW w:type="dxa" w:w="3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Financial management and accounting</w:t>
            </w:r>
          </w:p>
        </w:tc>
        <w:tc>
          <w:tcPr>
            <w:tcW w:type="dxa" w:w="18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[R / O]</w:t>
            </w:r>
          </w:p>
        </w:tc>
        <w:tc>
          <w:tcPr>
            <w:tcW w:type="dxa" w:w="42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[Transactions per month, audit or review, Form 990]</w:t>
            </w:r>
          </w:p>
        </w:tc>
      </w:tr>
      <w:tr>
        <w:tc>
          <w:tcPr>
            <w:tcW w:type="dxa" w:w="3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Membership operations</w:t>
            </w:r>
          </w:p>
        </w:tc>
        <w:tc>
          <w:tcPr>
            <w:tcW w:type="dxa" w:w="18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[R / O]</w:t>
            </w:r>
          </w:p>
        </w:tc>
        <w:tc>
          <w:tcPr>
            <w:tcW w:type="dxa" w:w="42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[Members, renewal cycle, benefits administration]</w:t>
            </w:r>
          </w:p>
        </w:tc>
      </w:tr>
      <w:tr>
        <w:tc>
          <w:tcPr>
            <w:tcW w:type="dxa" w:w="3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Events and meetings</w:t>
            </w:r>
          </w:p>
        </w:tc>
        <w:tc>
          <w:tcPr>
            <w:tcW w:type="dxa" w:w="18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[R / O]</w:t>
            </w:r>
          </w:p>
        </w:tc>
        <w:tc>
          <w:tcPr>
            <w:tcW w:type="dxa" w:w="42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[Number, size, and format of events]</w:t>
            </w:r>
          </w:p>
        </w:tc>
      </w:tr>
      <w:tr>
        <w:tc>
          <w:tcPr>
            <w:tcW w:type="dxa" w:w="3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Marketing and communications</w:t>
            </w:r>
          </w:p>
        </w:tc>
        <w:tc>
          <w:tcPr>
            <w:tcW w:type="dxa" w:w="18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[R / O]</w:t>
            </w:r>
          </w:p>
        </w:tc>
        <w:tc>
          <w:tcPr>
            <w:tcW w:type="dxa" w:w="42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[Newsletters, website, social media, media relations]</w:t>
            </w:r>
          </w:p>
        </w:tc>
      </w:tr>
      <w:tr>
        <w:tc>
          <w:tcPr>
            <w:tcW w:type="dxa" w:w="3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Technology and AMS administration</w:t>
            </w:r>
          </w:p>
        </w:tc>
        <w:tc>
          <w:tcPr>
            <w:tcW w:type="dxa" w:w="18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[R / O]</w:t>
            </w:r>
          </w:p>
        </w:tc>
        <w:tc>
          <w:tcPr>
            <w:tcW w:type="dxa" w:w="42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[Systems to operate or replace]</w:t>
            </w:r>
          </w:p>
        </w:tc>
      </w:tr>
      <w:tr>
        <w:tc>
          <w:tcPr>
            <w:tcW w:type="dxa" w:w="3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Government affairs</w:t>
            </w:r>
          </w:p>
        </w:tc>
        <w:tc>
          <w:tcPr>
            <w:tcW w:type="dxa" w:w="18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[R / O]</w:t>
            </w:r>
          </w:p>
        </w:tc>
        <w:tc>
          <w:tcPr>
            <w:tcW w:type="dxa" w:w="42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[Jurisdictions, PAC, lobbying needs]</w:t>
            </w:r>
          </w:p>
        </w:tc>
      </w:tr>
      <w:tr>
        <w:tc>
          <w:tcPr>
            <w:tcW w:type="dxa" w:w="3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Education and credentialing</w:t>
            </w:r>
          </w:p>
        </w:tc>
        <w:tc>
          <w:tcPr>
            <w:tcW w:type="dxa" w:w="18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[R / O]</w:t>
            </w:r>
          </w:p>
        </w:tc>
        <w:tc>
          <w:tcPr>
            <w:tcW w:type="dxa" w:w="42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[Programs, certifications, CE tracking]</w:t>
            </w:r>
          </w:p>
        </w:tc>
      </w:tr>
      <w:tr>
        <w:tc>
          <w:tcPr>
            <w:tcW w:type="dxa" w:w="3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Non-dues revenue and sponsorship</w:t>
            </w:r>
          </w:p>
        </w:tc>
        <w:tc>
          <w:tcPr>
            <w:tcW w:type="dxa" w:w="18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[R / O]</w:t>
            </w:r>
          </w:p>
        </w:tc>
        <w:tc>
          <w:tcPr>
            <w:tcW w:type="dxa" w:w="42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[Programs and annual targets]</w:t>
            </w:r>
          </w:p>
        </w:tc>
      </w:tr>
      <w:tr>
        <w:tc>
          <w:tcPr>
            <w:tcW w:type="dxa" w:w="3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Foundation administration</w:t>
            </w:r>
          </w:p>
        </w:tc>
        <w:tc>
          <w:tcPr>
            <w:tcW w:type="dxa" w:w="18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[R / O]</w:t>
            </w:r>
          </w:p>
        </w:tc>
        <w:tc>
          <w:tcPr>
            <w:tcW w:type="dxa" w:w="42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[Foundation structure and activity]</w:t>
            </w:r>
          </w:p>
        </w:tc>
      </w:tr>
    </w:tbl>
    <w:p>
      <w:pPr>
        <w:pStyle w:val="Heading1"/>
        <w:spacing w:after="160" w:before="360"/>
      </w:pPr>
      <w:r>
        <w:rPr>
          <w:rFonts w:ascii="Arial" w:cs="Arial" w:eastAsia="Arial" w:hAnsi="Arial"/>
          <w:b/>
          <w:bCs/>
          <w:color w:val="2E3333"/>
          <w:sz w:val="30"/>
          <w:szCs w:val="30"/>
        </w:rPr>
        <w:t xml:space="preserve">5. Questions for Respondents</w:t>
      </w:r>
    </w:p>
    <w:p>
      <w:pPr>
        <w:pStyle w:val="Heading2"/>
        <w:spacing w:after="100" w:before="240"/>
      </w:pPr>
      <w:r>
        <w:rPr>
          <w:rFonts w:ascii="Arial" w:cs="Arial" w:eastAsia="Arial" w:hAnsi="Arial"/>
          <w:b/>
          <w:bCs/>
          <w:color w:val="007278"/>
          <w:sz w:val="24"/>
          <w:szCs w:val="24"/>
        </w:rPr>
        <w:t xml:space="preserve">5.1 Firm overview</w:t>
      </w:r>
    </w:p>
    <w:p>
      <w:pPr>
        <w:pStyle w:val="ListParagraph"/>
        <w:numPr>
          <w:ilvl w:val="0"/>
          <w:numId w:val="2"/>
        </w:numPr>
        <w:spacing w:after="80"/>
      </w:pPr>
      <w:r>
        <w:rPr>
          <w:rFonts w:ascii="Arial" w:cs="Arial" w:eastAsia="Arial" w:hAnsi="Arial"/>
          <w:color w:val="2E3333"/>
          <w:sz w:val="21"/>
          <w:szCs w:val="21"/>
        </w:rPr>
        <w:t xml:space="preserve">Describe your firm, its ownership, years in operation, and the associations you serve.</w:t>
      </w:r>
    </w:p>
    <w:p>
      <w:pPr>
        <w:pStyle w:val="ListParagraph"/>
        <w:numPr>
          <w:ilvl w:val="0"/>
          <w:numId w:val="2"/>
        </w:numPr>
        <w:spacing w:after="80"/>
      </w:pPr>
      <w:r>
        <w:rPr>
          <w:rFonts w:ascii="Arial" w:cs="Arial" w:eastAsia="Arial" w:hAnsi="Arial"/>
          <w:color w:val="2E3333"/>
          <w:sz w:val="21"/>
          <w:szCs w:val="21"/>
        </w:rPr>
        <w:t xml:space="preserve">Describe any professional standards you follow, accreditations you hold, and credentials of the people who would serve the Association.</w:t>
      </w:r>
    </w:p>
    <w:p>
      <w:pPr>
        <w:pStyle w:val="Heading2"/>
        <w:spacing w:after="100" w:before="240"/>
      </w:pPr>
      <w:r>
        <w:rPr>
          <w:rFonts w:ascii="Arial" w:cs="Arial" w:eastAsia="Arial" w:hAnsi="Arial"/>
          <w:b/>
          <w:bCs/>
          <w:color w:val="007278"/>
          <w:sz w:val="24"/>
          <w:szCs w:val="24"/>
        </w:rPr>
        <w:t xml:space="preserve">5.2 Account leadership</w:t>
      </w:r>
    </w:p>
    <w:p>
      <w:pPr>
        <w:pStyle w:val="ListParagraph"/>
        <w:numPr>
          <w:ilvl w:val="0"/>
          <w:numId w:val="2"/>
        </w:numPr>
        <w:spacing w:after="80"/>
      </w:pPr>
      <w:r>
        <w:rPr>
          <w:rFonts w:ascii="Arial" w:cs="Arial" w:eastAsia="Arial" w:hAnsi="Arial"/>
          <w:color w:val="2E3333"/>
          <w:sz w:val="21"/>
          <w:szCs w:val="21"/>
        </w:rPr>
        <w:t xml:space="preserve">Who would lead our account, what share of their time would we receive, and how is continuity protected if that person changes?</w:t>
      </w:r>
    </w:p>
    <w:p>
      <w:pPr>
        <w:pStyle w:val="Heading2"/>
        <w:spacing w:after="100" w:before="240"/>
      </w:pPr>
      <w:r>
        <w:rPr>
          <w:rFonts w:ascii="Arial" w:cs="Arial" w:eastAsia="Arial" w:hAnsi="Arial"/>
          <w:b/>
          <w:bCs/>
          <w:color w:val="007278"/>
          <w:sz w:val="24"/>
          <w:szCs w:val="24"/>
        </w:rPr>
        <w:t xml:space="preserve">5.3 Financial controls</w:t>
      </w:r>
    </w:p>
    <w:p>
      <w:pPr>
        <w:pStyle w:val="ListParagraph"/>
        <w:numPr>
          <w:ilvl w:val="0"/>
          <w:numId w:val="2"/>
        </w:numPr>
        <w:spacing w:after="80"/>
      </w:pPr>
      <w:r>
        <w:rPr>
          <w:rFonts w:ascii="Arial" w:cs="Arial" w:eastAsia="Arial" w:hAnsi="Arial"/>
          <w:color w:val="2E3333"/>
          <w:sz w:val="21"/>
          <w:szCs w:val="21"/>
        </w:rPr>
        <w:t xml:space="preserve">Where would Association funds be held, and in whose name?</w:t>
      </w:r>
    </w:p>
    <w:p>
      <w:pPr>
        <w:pStyle w:val="ListParagraph"/>
        <w:numPr>
          <w:ilvl w:val="0"/>
          <w:numId w:val="2"/>
        </w:numPr>
        <w:spacing w:after="80"/>
      </w:pPr>
      <w:r>
        <w:rPr>
          <w:rFonts w:ascii="Arial" w:cs="Arial" w:eastAsia="Arial" w:hAnsi="Arial"/>
          <w:color w:val="2E3333"/>
          <w:sz w:val="21"/>
          <w:szCs w:val="21"/>
        </w:rPr>
        <w:t xml:space="preserve">Who may authorize disbursements, and what approvals apply above which thresholds?</w:t>
      </w:r>
    </w:p>
    <w:p>
      <w:pPr>
        <w:pStyle w:val="ListParagraph"/>
        <w:numPr>
          <w:ilvl w:val="0"/>
          <w:numId w:val="2"/>
        </w:numPr>
        <w:spacing w:after="80"/>
      </w:pPr>
      <w:r>
        <w:rPr>
          <w:rFonts w:ascii="Arial" w:cs="Arial" w:eastAsia="Arial" w:hAnsi="Arial"/>
          <w:color w:val="2E3333"/>
          <w:sz w:val="21"/>
          <w:szCs w:val="21"/>
        </w:rPr>
        <w:t xml:space="preserve">How are reconciliations performed, reviewed, and reported to the board? How do you support the audit and Form 990?</w:t>
      </w:r>
    </w:p>
    <w:p>
      <w:pPr>
        <w:pStyle w:val="Heading2"/>
        <w:spacing w:after="100" w:before="240"/>
      </w:pPr>
      <w:r>
        <w:rPr>
          <w:rFonts w:ascii="Arial" w:cs="Arial" w:eastAsia="Arial" w:hAnsi="Arial"/>
          <w:b/>
          <w:bCs/>
          <w:color w:val="007278"/>
          <w:sz w:val="24"/>
          <w:szCs w:val="24"/>
        </w:rPr>
        <w:t xml:space="preserve">5.4 Data, technology, and ownership</w:t>
      </w:r>
    </w:p>
    <w:p>
      <w:pPr>
        <w:pStyle w:val="ListParagraph"/>
        <w:numPr>
          <w:ilvl w:val="0"/>
          <w:numId w:val="2"/>
        </w:numPr>
        <w:spacing w:after="80"/>
      </w:pPr>
      <w:r>
        <w:rPr>
          <w:rFonts w:ascii="Arial" w:cs="Arial" w:eastAsia="Arial" w:hAnsi="Arial"/>
          <w:color w:val="2E3333"/>
          <w:sz w:val="21"/>
          <w:szCs w:val="21"/>
        </w:rPr>
        <w:t xml:space="preserve">Can you operate our current systems? What, if anything, would you recommend changing, and why?</w:t>
      </w:r>
    </w:p>
    <w:p>
      <w:pPr>
        <w:pStyle w:val="ListParagraph"/>
        <w:numPr>
          <w:ilvl w:val="0"/>
          <w:numId w:val="2"/>
        </w:numPr>
        <w:spacing w:after="80"/>
      </w:pPr>
      <w:r>
        <w:rPr>
          <w:rFonts w:ascii="Arial" w:cs="Arial" w:eastAsia="Arial" w:hAnsi="Arial"/>
          <w:color w:val="2E3333"/>
          <w:sz w:val="21"/>
          <w:szCs w:val="21"/>
        </w:rPr>
        <w:t xml:space="preserve">Confirm that member data, bank accounts, domains, social media accounts, and vendor contracts remain in the Association's name.</w:t>
      </w:r>
    </w:p>
    <w:p>
      <w:pPr>
        <w:pStyle w:val="Heading2"/>
        <w:spacing w:after="100" w:before="240"/>
      </w:pPr>
      <w:r>
        <w:rPr>
          <w:rFonts w:ascii="Arial" w:cs="Arial" w:eastAsia="Arial" w:hAnsi="Arial"/>
          <w:b/>
          <w:bCs/>
          <w:color w:val="007278"/>
          <w:sz w:val="24"/>
          <w:szCs w:val="24"/>
        </w:rPr>
        <w:t xml:space="preserve">5.5 Transition plan</w:t>
      </w:r>
    </w:p>
    <w:p>
      <w:pPr>
        <w:pStyle w:val="ListParagraph"/>
        <w:numPr>
          <w:ilvl w:val="0"/>
          <w:numId w:val="2"/>
        </w:numPr>
        <w:spacing w:after="80"/>
      </w:pPr>
      <w:r>
        <w:rPr>
          <w:rFonts w:ascii="Arial" w:cs="Arial" w:eastAsia="Arial" w:hAnsi="Arial"/>
          <w:color w:val="2E3333"/>
          <w:sz w:val="21"/>
          <w:szCs w:val="21"/>
        </w:rPr>
        <w:t xml:space="preserve">Provide a dated 90-day transition plan covering account access, data migration and validation, finances, vendor contracts, and member service continuity.</w:t>
      </w:r>
    </w:p>
    <w:p>
      <w:pPr>
        <w:pStyle w:val="Heading2"/>
        <w:spacing w:after="100" w:before="240"/>
      </w:pPr>
      <w:r>
        <w:rPr>
          <w:rFonts w:ascii="Arial" w:cs="Arial" w:eastAsia="Arial" w:hAnsi="Arial"/>
          <w:b/>
          <w:bCs/>
          <w:color w:val="007278"/>
          <w:sz w:val="24"/>
          <w:szCs w:val="24"/>
        </w:rPr>
        <w:t xml:space="preserve">5.6 Performance and reporting</w:t>
      </w:r>
    </w:p>
    <w:p>
      <w:pPr>
        <w:pStyle w:val="ListParagraph"/>
        <w:numPr>
          <w:ilvl w:val="0"/>
          <w:numId w:val="2"/>
        </w:numPr>
        <w:spacing w:after="80"/>
      </w:pPr>
      <w:r>
        <w:rPr>
          <w:rFonts w:ascii="Arial" w:cs="Arial" w:eastAsia="Arial" w:hAnsi="Arial"/>
          <w:color w:val="2E3333"/>
          <w:sz w:val="21"/>
          <w:szCs w:val="21"/>
        </w:rPr>
        <w:t xml:space="preserve">Which KPIs would you propose for our association, how often would you report them, and what service levels will you commit to in the agreement?</w:t>
      </w:r>
    </w:p>
    <w:p>
      <w:pPr>
        <w:pStyle w:val="Heading2"/>
        <w:spacing w:after="100" w:before="240"/>
      </w:pPr>
      <w:r>
        <w:rPr>
          <w:rFonts w:ascii="Arial" w:cs="Arial" w:eastAsia="Arial" w:hAnsi="Arial"/>
          <w:b/>
          <w:bCs/>
          <w:color w:val="007278"/>
          <w:sz w:val="24"/>
          <w:szCs w:val="24"/>
        </w:rPr>
        <w:t xml:space="preserve">5.7 Insurance and bonding</w:t>
      </w:r>
    </w:p>
    <w:p>
      <w:pPr>
        <w:pStyle w:val="ListParagraph"/>
        <w:numPr>
          <w:ilvl w:val="0"/>
          <w:numId w:val="2"/>
        </w:numPr>
        <w:spacing w:after="80"/>
      </w:pPr>
      <w:r>
        <w:rPr>
          <w:rFonts w:ascii="Arial" w:cs="Arial" w:eastAsia="Arial" w:hAnsi="Arial"/>
          <w:color w:val="2E3333"/>
          <w:sz w:val="21"/>
          <w:szCs w:val="21"/>
        </w:rPr>
        <w:t xml:space="preserve">List current coverage and limits for general liability, errors and omissions, cyber liability, and crime or fidelity coverage.</w:t>
      </w:r>
    </w:p>
    <w:p>
      <w:pPr>
        <w:pStyle w:val="Heading2"/>
        <w:spacing w:after="100" w:before="240"/>
      </w:pPr>
      <w:r>
        <w:rPr>
          <w:rFonts w:ascii="Arial" w:cs="Arial" w:eastAsia="Arial" w:hAnsi="Arial"/>
          <w:b/>
          <w:bCs/>
          <w:color w:val="007278"/>
          <w:sz w:val="24"/>
          <w:szCs w:val="24"/>
        </w:rPr>
        <w:t xml:space="preserve">5.8 Conflicts of interest</w:t>
      </w:r>
    </w:p>
    <w:p>
      <w:pPr>
        <w:pStyle w:val="ListParagraph"/>
        <w:numPr>
          <w:ilvl w:val="0"/>
          <w:numId w:val="2"/>
        </w:numPr>
        <w:spacing w:after="80"/>
      </w:pPr>
      <w:r>
        <w:rPr>
          <w:rFonts w:ascii="Arial" w:cs="Arial" w:eastAsia="Arial" w:hAnsi="Arial"/>
          <w:color w:val="2E3333"/>
          <w:sz w:val="21"/>
          <w:szCs w:val="21"/>
        </w:rPr>
        <w:t xml:space="preserve">Disclose any relationships with vendors, other clients, or individuals that could present a conflict, and how you manage them.</w:t>
      </w:r>
    </w:p>
    <w:p>
      <w:pPr>
        <w:pStyle w:val="Heading2"/>
        <w:spacing w:after="100" w:before="240"/>
      </w:pPr>
      <w:r>
        <w:rPr>
          <w:rFonts w:ascii="Arial" w:cs="Arial" w:eastAsia="Arial" w:hAnsi="Arial"/>
          <w:b/>
          <w:bCs/>
          <w:color w:val="007278"/>
          <w:sz w:val="24"/>
          <w:szCs w:val="24"/>
        </w:rPr>
        <w:t xml:space="preserve">5.9 References</w:t>
      </w:r>
    </w:p>
    <w:p>
      <w:pPr>
        <w:pStyle w:val="ListParagraph"/>
        <w:numPr>
          <w:ilvl w:val="0"/>
          <w:numId w:val="2"/>
        </w:numPr>
        <w:spacing w:after="80"/>
      </w:pPr>
      <w:r>
        <w:rPr>
          <w:rFonts w:ascii="Arial" w:cs="Arial" w:eastAsia="Arial" w:hAnsi="Arial"/>
          <w:color w:val="2E3333"/>
          <w:sz w:val="21"/>
          <w:szCs w:val="21"/>
        </w:rPr>
        <w:t xml:space="preserve">Provide at least three references from current clients, including contact information.</w:t>
      </w:r>
    </w:p>
    <w:p>
      <w:pPr>
        <w:pStyle w:val="Heading1"/>
        <w:spacing w:after="160" w:before="360"/>
      </w:pPr>
      <w:r>
        <w:rPr>
          <w:rFonts w:ascii="Arial" w:cs="Arial" w:eastAsia="Arial" w:hAnsi="Arial"/>
          <w:b/>
          <w:bCs/>
          <w:color w:val="2E3333"/>
          <w:sz w:val="30"/>
          <w:szCs w:val="30"/>
        </w:rPr>
        <w:t xml:space="preserve">6. Required Pricing Format</w:t>
      </w:r>
    </w:p>
    <w:p>
      <w:pPr>
        <w:spacing w:after="120"/>
      </w:pPr>
      <w:r>
        <w:rPr>
          <w:rFonts w:ascii="Arial" w:cs="Arial" w:eastAsia="Arial" w:hAnsi="Arial"/>
          <w:color w:val="2E3333"/>
          <w:sz w:val="21"/>
          <w:szCs w:val="21"/>
        </w:rPr>
        <w:t xml:space="preserve">To allow comparison, every proposal must present pricing in this format:</w:t>
      </w:r>
    </w:p>
    <w:p>
      <w:pPr>
        <w:pStyle w:val="ListParagraph"/>
        <w:numPr>
          <w:ilvl w:val="0"/>
          <w:numId w:val="3"/>
        </w:numPr>
        <w:spacing w:after="80"/>
      </w:pPr>
      <w:r>
        <w:rPr>
          <w:rFonts w:ascii="Arial" w:cs="Arial" w:eastAsia="Arial" w:hAnsi="Arial"/>
          <w:color w:val="2E3333"/>
          <w:sz w:val="21"/>
          <w:szCs w:val="21"/>
        </w:rPr>
        <w:t xml:space="preserve">Monthly management fee and a list of exactly what it includes</w:t>
      </w:r>
    </w:p>
    <w:p>
      <w:pPr>
        <w:pStyle w:val="ListParagraph"/>
        <w:numPr>
          <w:ilvl w:val="0"/>
          <w:numId w:val="3"/>
        </w:numPr>
        <w:spacing w:after="80"/>
      </w:pPr>
      <w:r>
        <w:rPr>
          <w:rFonts w:ascii="Arial" w:cs="Arial" w:eastAsia="Arial" w:hAnsi="Arial"/>
          <w:color w:val="2E3333"/>
          <w:sz w:val="21"/>
          <w:szCs w:val="21"/>
        </w:rPr>
        <w:t xml:space="preserve">How pass-through costs are billed, and whether any markup applies</w:t>
      </w:r>
    </w:p>
    <w:p>
      <w:pPr>
        <w:pStyle w:val="ListParagraph"/>
        <w:numPr>
          <w:ilvl w:val="0"/>
          <w:numId w:val="3"/>
        </w:numPr>
        <w:spacing w:after="80"/>
      </w:pPr>
      <w:r>
        <w:rPr>
          <w:rFonts w:ascii="Arial" w:cs="Arial" w:eastAsia="Arial" w:hAnsi="Arial"/>
          <w:color w:val="2E3333"/>
          <w:sz w:val="21"/>
          <w:szCs w:val="21"/>
        </w:rPr>
        <w:t xml:space="preserve">Rates for work outside the defined scope, and the change-order approval process</w:t>
      </w:r>
    </w:p>
    <w:p>
      <w:pPr>
        <w:pStyle w:val="ListParagraph"/>
        <w:numPr>
          <w:ilvl w:val="0"/>
          <w:numId w:val="3"/>
        </w:numPr>
        <w:spacing w:after="80"/>
      </w:pPr>
      <w:r>
        <w:rPr>
          <w:rFonts w:ascii="Arial" w:cs="Arial" w:eastAsia="Arial" w:hAnsi="Arial"/>
          <w:color w:val="2E3333"/>
          <w:sz w:val="21"/>
          <w:szCs w:val="21"/>
        </w:rPr>
        <w:t xml:space="preserve">Any event management fees, commissions, or performance incentives</w:t>
      </w:r>
    </w:p>
    <w:p>
      <w:pPr>
        <w:pStyle w:val="ListParagraph"/>
        <w:numPr>
          <w:ilvl w:val="0"/>
          <w:numId w:val="3"/>
        </w:numPr>
        <w:spacing w:after="80"/>
      </w:pPr>
      <w:r>
        <w:rPr>
          <w:rFonts w:ascii="Arial" w:cs="Arial" w:eastAsia="Arial" w:hAnsi="Arial"/>
          <w:color w:val="2E3333"/>
          <w:sz w:val="21"/>
          <w:szCs w:val="21"/>
        </w:rPr>
        <w:t xml:space="preserve">Proposed agreement term, renewal terms, and annual escalators</w:t>
      </w:r>
    </w:p>
    <w:p>
      <w:pPr>
        <w:pStyle w:val="ListParagraph"/>
        <w:numPr>
          <w:ilvl w:val="0"/>
          <w:numId w:val="3"/>
        </w:numPr>
        <w:spacing w:after="80"/>
      </w:pPr>
      <w:r>
        <w:rPr>
          <w:rFonts w:ascii="Arial" w:cs="Arial" w:eastAsia="Arial" w:hAnsi="Arial"/>
          <w:color w:val="2E3333"/>
          <w:sz w:val="21"/>
          <w:szCs w:val="21"/>
        </w:rPr>
        <w:t xml:space="preserve">One-time transition or onboarding fees, if any</w:t>
      </w:r>
    </w:p>
    <w:p>
      <w:pPr>
        <w:pStyle w:val="Heading1"/>
        <w:spacing w:after="160" w:before="360"/>
      </w:pPr>
      <w:r>
        <w:rPr>
          <w:rFonts w:ascii="Arial" w:cs="Arial" w:eastAsia="Arial" w:hAnsi="Arial"/>
          <w:b/>
          <w:bCs/>
          <w:color w:val="2E3333"/>
          <w:sz w:val="30"/>
          <w:szCs w:val="30"/>
        </w:rPr>
        <w:t xml:space="preserve">7. Evaluation Criteria</w:t>
      </w:r>
    </w:p>
    <w:p>
      <w:pPr>
        <w:spacing w:after="120"/>
      </w:pPr>
      <w:r>
        <w:rPr>
          <w:rFonts w:ascii="Arial" w:cs="Arial" w:eastAsia="Arial" w:hAnsi="Arial"/>
          <w:color w:val="2E3333"/>
          <w:sz w:val="21"/>
          <w:szCs w:val="21"/>
        </w:rPr>
        <w:t xml:space="preserve">Proposals will be scored by [the selection committee] using the weights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360"/>
        <w:gridCol w:w="2000"/>
      </w:tblGrid>
      <w:tr>
        <w:trPr>
          <w:tblHeader/>
        </w:trPr>
        <w:tc>
          <w:tcPr>
            <w:tcW w:type="dxa" w:w="7360"/>
            <w:tcBorders>
              <w:top w:val="single" w:color="CDD5D5" w:sz="4"/>
              <w:left w:val="single" w:color="CDD5D5" w:sz="4"/>
              <w:bottom w:val="single" w:color="CDD5D5" w:sz="4"/>
              <w:right w:val="single" w:color="CDD5D5" w:sz="4"/>
            </w:tcBorders>
            <w:shd w:fill="2E3333" w:color="auto" w:val="clear"/>
            <w:tcMar>
              <w:top w:type="dxa" w:w="80"/>
              <w:left w:type="dxa" w:w="120"/>
              <w:bottom w:type="dxa" w:w="80"/>
              <w:right w:type="dxa" w:w="120"/>
            </w:tcMar>
          </w:tcPr>
          <w:p>
            <w:r>
              <w:rPr>
                <w:rFonts w:ascii="Arial" w:cs="Arial" w:eastAsia="Arial" w:hAnsi="Arial"/>
                <w:b/>
                <w:bCs/>
                <w:color w:val="FFFFFF"/>
                <w:sz w:val="18"/>
                <w:szCs w:val="18"/>
              </w:rPr>
              <w:t xml:space="preserve">Criterion</w:t>
            </w:r>
          </w:p>
        </w:tc>
        <w:tc>
          <w:tcPr>
            <w:tcW w:type="dxa" w:w="2000"/>
            <w:tcBorders>
              <w:top w:val="single" w:color="CDD5D5" w:sz="4"/>
              <w:left w:val="single" w:color="CDD5D5" w:sz="4"/>
              <w:bottom w:val="single" w:color="CDD5D5" w:sz="4"/>
              <w:right w:val="single" w:color="CDD5D5" w:sz="4"/>
            </w:tcBorders>
            <w:shd w:fill="2E3333" w:color="auto" w:val="clear"/>
            <w:tcMar>
              <w:top w:type="dxa" w:w="80"/>
              <w:left w:type="dxa" w:w="120"/>
              <w:bottom w:type="dxa" w:w="80"/>
              <w:right w:type="dxa" w:w="120"/>
            </w:tcMar>
          </w:tcPr>
          <w:p>
            <w:r>
              <w:rPr>
                <w:rFonts w:ascii="Arial" w:cs="Arial" w:eastAsia="Arial" w:hAnsi="Arial"/>
                <w:b/>
                <w:bCs/>
                <w:color w:val="FFFFFF"/>
                <w:sz w:val="18"/>
                <w:szCs w:val="18"/>
              </w:rPr>
              <w:t xml:space="preserve">Weight</w:t>
            </w:r>
          </w:p>
        </w:tc>
      </w:tr>
      <w:tr>
        <w:tc>
          <w:tcPr>
            <w:tcW w:type="dxa" w:w="7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Transition plan and risk management</w:t>
            </w:r>
          </w:p>
        </w:tc>
        <w:tc>
          <w:tcPr>
            <w:tcW w:type="dxa" w:w="2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20%</w:t>
            </w:r>
          </w:p>
        </w:tc>
      </w:tr>
      <w:tr>
        <w:tc>
          <w:tcPr>
            <w:tcW w:type="dxa" w:w="7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Financial controls and governance</w:t>
            </w:r>
          </w:p>
        </w:tc>
        <w:tc>
          <w:tcPr>
            <w:tcW w:type="dxa" w:w="2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20%</w:t>
            </w:r>
          </w:p>
        </w:tc>
      </w:tr>
      <w:tr>
        <w:tc>
          <w:tcPr>
            <w:tcW w:type="dxa" w:w="7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Scope fit and operating approach</w:t>
            </w:r>
          </w:p>
        </w:tc>
        <w:tc>
          <w:tcPr>
            <w:tcW w:type="dxa" w:w="2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20%</w:t>
            </w:r>
          </w:p>
        </w:tc>
      </w:tr>
      <w:tr>
        <w:tc>
          <w:tcPr>
            <w:tcW w:type="dxa" w:w="7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Pricing transparency and value</w:t>
            </w:r>
          </w:p>
        </w:tc>
        <w:tc>
          <w:tcPr>
            <w:tcW w:type="dxa" w:w="2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15%</w:t>
            </w:r>
          </w:p>
        </w:tc>
      </w:tr>
      <w:tr>
        <w:tc>
          <w:tcPr>
            <w:tcW w:type="dxa" w:w="7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Technology and data capability</w:t>
            </w:r>
          </w:p>
        </w:tc>
        <w:tc>
          <w:tcPr>
            <w:tcW w:type="dxa" w:w="2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10%</w:t>
            </w:r>
          </w:p>
        </w:tc>
      </w:tr>
      <w:tr>
        <w:tc>
          <w:tcPr>
            <w:tcW w:type="dxa" w:w="7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Account leadership and responsiveness</w:t>
            </w:r>
          </w:p>
        </w:tc>
        <w:tc>
          <w:tcPr>
            <w:tcW w:type="dxa" w:w="2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10%</w:t>
            </w:r>
          </w:p>
        </w:tc>
      </w:tr>
      <w:tr>
        <w:tc>
          <w:tcPr>
            <w:tcW w:type="dxa" w:w="7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Interview and presentation</w:t>
            </w:r>
          </w:p>
        </w:tc>
        <w:tc>
          <w:tcPr>
            <w:tcW w:type="dxa" w:w="2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5%</w:t>
            </w:r>
          </w:p>
        </w:tc>
      </w:tr>
      <w:tr>
        <w:tc>
          <w:tcPr>
            <w:tcW w:type="dxa" w:w="736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Total</w:t>
            </w:r>
          </w:p>
        </w:tc>
        <w:tc>
          <w:tcPr>
            <w:tcW w:type="dxa" w:w="2000"/>
            <w:tcBorders>
              <w:top w:val="single" w:color="CDD5D5" w:sz="4"/>
              <w:left w:val="single" w:color="CDD5D5" w:sz="4"/>
              <w:bottom w:val="single" w:color="CDD5D5" w:sz="4"/>
              <w:right w:val="single" w:color="CDD5D5" w:sz="4"/>
            </w:tcBorders>
            <w:tcMar>
              <w:top w:type="dxa" w:w="80"/>
              <w:left w:type="dxa" w:w="120"/>
              <w:bottom w:type="dxa" w:w="80"/>
              <w:right w:type="dxa" w:w="120"/>
            </w:tcMar>
          </w:tcPr>
          <w:p>
            <w:r>
              <w:rPr>
                <w:rFonts w:ascii="Arial" w:cs="Arial" w:eastAsia="Arial" w:hAnsi="Arial"/>
                <w:b w:val="false"/>
                <w:bCs w:val="false"/>
                <w:color w:val="2E3333"/>
                <w:sz w:val="20"/>
                <w:szCs w:val="20"/>
              </w:rPr>
              <w:t xml:space="preserve">100%</w:t>
            </w:r>
          </w:p>
        </w:tc>
      </w:tr>
    </w:tbl>
    <w:p>
      <w:pPr>
        <w:spacing w:after="120"/>
      </w:pPr>
    </w:p>
    <w:p>
      <w:pPr>
        <w:spacing w:after="120"/>
      </w:pPr>
      <w:r>
        <w:rPr>
          <w:rFonts w:ascii="Arial" w:cs="Arial" w:eastAsia="Arial" w:hAnsi="Arial"/>
          <w:color w:val="2E3333"/>
          <w:sz w:val="21"/>
          <w:szCs w:val="21"/>
        </w:rPr>
        <w:t xml:space="preserve">References, certificates of insurance, and conflict-of-interest disclosures are pass/fail requirements that must be satisfied before final selection.</w:t>
      </w:r>
    </w:p>
    <w:p>
      <w:pPr>
        <w:pStyle w:val="Heading1"/>
        <w:spacing w:after="160" w:before="360"/>
      </w:pPr>
      <w:r>
        <w:rPr>
          <w:rFonts w:ascii="Arial" w:cs="Arial" w:eastAsia="Arial" w:hAnsi="Arial"/>
          <w:b/>
          <w:bCs/>
          <w:color w:val="2E3333"/>
          <w:sz w:val="30"/>
          <w:szCs w:val="30"/>
        </w:rPr>
        <w:t xml:space="preserve">8. Submission Instructions</w:t>
      </w:r>
    </w:p>
    <w:p>
      <w:pPr>
        <w:pStyle w:val="ListParagraph"/>
        <w:numPr>
          <w:ilvl w:val="0"/>
          <w:numId w:val="3"/>
        </w:numPr>
        <w:spacing w:after="80"/>
      </w:pPr>
      <w:r>
        <w:rPr>
          <w:rFonts w:ascii="Arial" w:cs="Arial" w:eastAsia="Arial" w:hAnsi="Arial"/>
          <w:color w:val="2E3333"/>
          <w:sz w:val="21"/>
          <w:szCs w:val="21"/>
        </w:rPr>
        <w:t xml:space="preserve">Submit proposals as a single PDF to [email] by [date and time, time zone].</w:t>
      </w:r>
    </w:p>
    <w:p>
      <w:pPr>
        <w:pStyle w:val="ListParagraph"/>
        <w:numPr>
          <w:ilvl w:val="0"/>
          <w:numId w:val="3"/>
        </w:numPr>
        <w:spacing w:after="80"/>
      </w:pPr>
      <w:r>
        <w:rPr>
          <w:rFonts w:ascii="Arial" w:cs="Arial" w:eastAsia="Arial" w:hAnsi="Arial"/>
          <w:color w:val="2E3333"/>
          <w:sz w:val="21"/>
          <w:szCs w:val="21"/>
        </w:rPr>
        <w:t xml:space="preserve">Direct all questions in writing to [RFP contact] by [date]. Answers will be shared with all respondents.</w:t>
      </w:r>
    </w:p>
    <w:p>
      <w:pPr>
        <w:pStyle w:val="ListParagraph"/>
        <w:numPr>
          <w:ilvl w:val="0"/>
          <w:numId w:val="3"/>
        </w:numPr>
        <w:spacing w:after="80"/>
      </w:pPr>
      <w:r>
        <w:rPr>
          <w:rFonts w:ascii="Arial" w:cs="Arial" w:eastAsia="Arial" w:hAnsi="Arial"/>
          <w:color w:val="2E3333"/>
          <w:sz w:val="21"/>
          <w:szCs w:val="21"/>
        </w:rPr>
        <w:t xml:space="preserve">Proposals should not exceed [number] pages, excluding appendices.</w:t>
      </w:r>
    </w:p>
    <w:p>
      <w:pPr>
        <w:pStyle w:val="ListParagraph"/>
        <w:numPr>
          <w:ilvl w:val="0"/>
          <w:numId w:val="3"/>
        </w:numPr>
        <w:spacing w:after="80"/>
      </w:pPr>
      <w:r>
        <w:rPr>
          <w:rFonts w:ascii="Arial" w:cs="Arial" w:eastAsia="Arial" w:hAnsi="Arial"/>
          <w:color w:val="2E3333"/>
          <w:sz w:val="21"/>
          <w:szCs w:val="21"/>
        </w:rPr>
        <w:t xml:space="preserve">The Association will treat proposals as confidential and may reject any or all proposals.</w:t>
      </w:r>
    </w:p>
    <w:p>
      <w:pPr>
        <w:pStyle w:val="ListParagraph"/>
        <w:numPr>
          <w:ilvl w:val="0"/>
          <w:numId w:val="3"/>
        </w:numPr>
        <w:spacing w:after="80"/>
      </w:pPr>
      <w:r>
        <w:rPr>
          <w:rFonts w:ascii="Arial" w:cs="Arial" w:eastAsia="Arial" w:hAnsi="Arial"/>
          <w:color w:val="2E3333"/>
          <w:sz w:val="21"/>
          <w:szCs w:val="21"/>
        </w:rPr>
        <w:t xml:space="preserve">Respondents bear all costs of preparing proposals and attending interviews.</w:t>
      </w:r>
    </w:p>
    <w:p>
      <w:pPr>
        <w:pStyle w:val="Heading1"/>
        <w:spacing w:after="160" w:before="360"/>
      </w:pPr>
      <w:r>
        <w:rPr>
          <w:rFonts w:ascii="Arial" w:cs="Arial" w:eastAsia="Arial" w:hAnsi="Arial"/>
          <w:b/>
          <w:bCs/>
          <w:color w:val="2E3333"/>
          <w:sz w:val="30"/>
          <w:szCs w:val="30"/>
        </w:rPr>
        <w:t xml:space="preserve">Appendix: Documents Available on Request</w:t>
      </w:r>
    </w:p>
    <w:p>
      <w:pPr>
        <w:spacing w:after="120"/>
      </w:pPr>
      <w:r>
        <w:rPr>
          <w:rFonts w:ascii="Arial" w:cs="Arial" w:eastAsia="Arial" w:hAnsi="Arial"/>
          <w:color w:val="2E3333"/>
          <w:sz w:val="21"/>
          <w:szCs w:val="21"/>
        </w:rPr>
        <w:t xml:space="preserve">Finalists may request the following under a confidentiality agreement:</w:t>
      </w:r>
    </w:p>
    <w:p>
      <w:pPr>
        <w:pStyle w:val="ListParagraph"/>
        <w:numPr>
          <w:ilvl w:val="0"/>
          <w:numId w:val="3"/>
        </w:numPr>
        <w:spacing w:after="80"/>
      </w:pPr>
      <w:r>
        <w:rPr>
          <w:rFonts w:ascii="Arial" w:cs="Arial" w:eastAsia="Arial" w:hAnsi="Arial"/>
          <w:color w:val="2E3333"/>
          <w:sz w:val="21"/>
          <w:szCs w:val="21"/>
        </w:rPr>
        <w:t xml:space="preserve">Most recent audited or reviewed financial statements and Form 990</w:t>
      </w:r>
    </w:p>
    <w:p>
      <w:pPr>
        <w:pStyle w:val="ListParagraph"/>
        <w:numPr>
          <w:ilvl w:val="0"/>
          <w:numId w:val="3"/>
        </w:numPr>
        <w:spacing w:after="80"/>
      </w:pPr>
      <w:r>
        <w:rPr>
          <w:rFonts w:ascii="Arial" w:cs="Arial" w:eastAsia="Arial" w:hAnsi="Arial"/>
          <w:color w:val="2E3333"/>
          <w:sz w:val="21"/>
          <w:szCs w:val="21"/>
        </w:rPr>
        <w:t xml:space="preserve">Current budget and year-to-date financial statements</w:t>
      </w:r>
    </w:p>
    <w:p>
      <w:pPr>
        <w:pStyle w:val="ListParagraph"/>
        <w:numPr>
          <w:ilvl w:val="0"/>
          <w:numId w:val="3"/>
        </w:numPr>
        <w:spacing w:after="80"/>
      </w:pPr>
      <w:r>
        <w:rPr>
          <w:rFonts w:ascii="Arial" w:cs="Arial" w:eastAsia="Arial" w:hAnsi="Arial"/>
          <w:color w:val="2E3333"/>
          <w:sz w:val="21"/>
          <w:szCs w:val="21"/>
        </w:rPr>
        <w:t xml:space="preserve">Bylaws, policies, and the current strategic plan</w:t>
      </w:r>
    </w:p>
    <w:p>
      <w:pPr>
        <w:pStyle w:val="ListParagraph"/>
        <w:numPr>
          <w:ilvl w:val="0"/>
          <w:numId w:val="3"/>
        </w:numPr>
        <w:spacing w:after="80"/>
      </w:pPr>
      <w:r>
        <w:rPr>
          <w:rFonts w:ascii="Arial" w:cs="Arial" w:eastAsia="Arial" w:hAnsi="Arial"/>
          <w:color w:val="2E3333"/>
          <w:sz w:val="21"/>
          <w:szCs w:val="21"/>
        </w:rPr>
        <w:t xml:space="preserve">Current management agreement (if applicable)</w:t>
      </w:r>
    </w:p>
    <w:p>
      <w:pPr>
        <w:pStyle w:val="ListParagraph"/>
        <w:numPr>
          <w:ilvl w:val="0"/>
          <w:numId w:val="3"/>
        </w:numPr>
        <w:spacing w:after="80"/>
      </w:pPr>
      <w:r>
        <w:rPr>
          <w:rFonts w:ascii="Arial" w:cs="Arial" w:eastAsia="Arial" w:hAnsi="Arial"/>
          <w:color w:val="2E3333"/>
          <w:sz w:val="21"/>
          <w:szCs w:val="21"/>
        </w:rPr>
        <w:t xml:space="preserve">Major vendor and venue contracts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B6B"/>
        <w:sz w:val="16"/>
        <w:szCs w:val="16"/>
      </w:rPr>
      <w:t xml:space="preserve">[Association Name] RFP  |  Page </w:t>
    </w:r>
    <w:r>
      <w:rPr>
        <w:rFonts w:ascii="Arial" w:cs="Arial" w:eastAsia="Arial" w:hAnsi="Arial"/>
        <w:color w:val="666B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E33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AMC RFP Template</dc:title>
  <dc:creator>Association Core</dc:creator>
  <dc:description>Request for Proposal template for association management services</dc:description>
  <cp:lastModifiedBy>Un-named</cp:lastModifiedBy>
  <cp:revision>1</cp:revision>
  <dcterms:created xsi:type="dcterms:W3CDTF">2026-10-02T20:33:42.903Z</dcterms:created>
  <dcterms:modified xsi:type="dcterms:W3CDTF">2026-10-02T20:33:42.903Z</dcterms:modified>
</cp:coreProperties>
</file>

<file path=docProps/custom.xml><?xml version="1.0" encoding="utf-8"?>
<Properties xmlns="http://schemas.openxmlformats.org/officeDocument/2006/custom-properties" xmlns:vt="http://schemas.openxmlformats.org/officeDocument/2006/docPropsVTypes"/>
</file>